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DC7DCE" w:rsidRPr="00DC7DCE" w:rsidRDefault="00DC7DCE" w:rsidP="00DC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 pojazdu zarejestrowanego obowiązany jest zawiadomić w terminie nieprzekraczającym 30 dni starostę o zmianie stanu faktycznego wymagającej zmiany danych zamieszczonych w dowodzie rejestracyjnym.</w:t>
      </w:r>
    </w:p>
    <w:p w:rsidR="00DC7DCE" w:rsidRPr="00DC7DCE" w:rsidRDefault="00DC7DCE" w:rsidP="00DC7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DC7DCE" w:rsidRPr="00DC7DCE" w:rsidRDefault="00DC7DCE" w:rsidP="00DC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Właściciela zarejestrowanego pojazdu.</w:t>
      </w:r>
    </w:p>
    <w:p w:rsidR="00DC7DCE" w:rsidRPr="00DC7DCE" w:rsidRDefault="00DC7DCE" w:rsidP="00DC7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DCE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0" o:hralign="center" o:hrstd="t" o:hrnoshade="t" o:hr="t" fillcolor="#434343" stroked="f"/>
        </w:pict>
      </w: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Zawiadomienie,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Karta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pojazdu, jeżeli była wydana,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odpis z KRS w przypadku podmiotów rejestrowanych w Krajowym Rejestrze Sądowym,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w przypadku osób fizycznych,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dokonania zmian konstrukcyjnych zmieniających rodzaj pojazdu dodatkowo należy dostarczyć: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dokument potwierdzający, że dokonane zmiany konstrukcyjne zmieniające rodzaj pojazdu wykonane zostały przez przedsiębiorcę, prowadzącego działalność gospodarczą w tym zakresie;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zaświadczenie o pozytywnym wyniku badania technicznego potwierdzające, że dokonane zmiany są zgodne z przepisami określającymi warunki techniczne pojazdów;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dokument potwierdzający zapłatę akcyzy na terytorium kraju albo dokument potwierdzający brak obowiązku zapłaty akcyzy na terytorium kraju, albo zaświadczenie stwierdzające zwolnienie od akcyzy, w rozumieniu przepisów o podatku akcyzowym, w przypadku zmiany rodzaju pojazdu na samochód osobowy, pojazd rodzaju „samochodowy inny”, podrodzaj „czterokołowiec” (kategoria homologacyjna L7e) lub podrodzaj „czterokołowiec lekki” (kategoria homologacyjna L6e), samochód ciężarowy (kategoria homologacyjna N</w:t>
      </w:r>
      <w:r w:rsidRPr="00DC7DCE">
        <w:rPr>
          <w:rFonts w:ascii="Arial" w:eastAsia="Times New Roman" w:hAnsi="Arial" w:cs="Arial"/>
          <w:color w:val="434343"/>
          <w:sz w:val="14"/>
          <w:szCs w:val="14"/>
          <w:vertAlign w:val="subscript"/>
          <w:lang w:eastAsia="pl-PL"/>
        </w:rPr>
        <w:t>1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), podrodzaj „furgon”, „furgon/podest”, „ciężarowo-osobowy”, „terenowy”, „wielozadaniowy” lub „van” lub samochód specjalny (kategoria homologacyjna M</w:t>
      </w:r>
      <w:r w:rsidRPr="00DC7DCE">
        <w:rPr>
          <w:rFonts w:ascii="Arial" w:eastAsia="Times New Roman" w:hAnsi="Arial" w:cs="Arial"/>
          <w:color w:val="434343"/>
          <w:sz w:val="14"/>
          <w:szCs w:val="14"/>
          <w:vertAlign w:val="subscript"/>
          <w:lang w:eastAsia="pl-PL"/>
        </w:rPr>
        <w:t>1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 i N</w:t>
      </w:r>
      <w:r w:rsidRPr="00DC7DCE">
        <w:rPr>
          <w:rFonts w:ascii="Arial" w:eastAsia="Times New Roman" w:hAnsi="Arial" w:cs="Arial"/>
          <w:color w:val="434343"/>
          <w:sz w:val="14"/>
          <w:szCs w:val="14"/>
          <w:vertAlign w:val="subscript"/>
          <w:lang w:eastAsia="pl-PL"/>
        </w:rPr>
        <w:t>1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).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Uwaga: W okresie od dnia 1 lipca 2021 r. do dnia 30 czerwca 2022 r. do zawiadomień o zmianie stanu faktycznego wymagającej zmiany danych zamieszczonych w dowodzie rejestracyjnym, wynikającej z wprowadzenia w pojeździe zarejestrowanym zmian konstrukcyjnych zmieniających rodzaj tego pojazdu, nie dołącza się dokumentu potwierdzającego zapłatę akcyzy na terytorium kraju albo zaświadczenia stwierdzającego zwolnienie od akcyzy.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wymiany podwozia lub ramy dodatkowo należy dostarczyć: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własności podwozia lub ramy;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odprawy celnej przywozowej, jeżeli podwozie lub rama zostały sprowadzone z terytorium państwa niebędącego państwem członkowskim Unii Europejskiej;</w:t>
      </w:r>
    </w:p>
    <w:p w:rsidR="00DC7DCE" w:rsidRPr="00DC7DCE" w:rsidRDefault="00DC7DCE" w:rsidP="00DC7DCE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 lub zaświadczenie wystawione przez organ rejestrujący właściwy ze względu na miejsce rejestracji pojazdu, z którego pochodzi podwozie lub rama, jeżeli to podwozie lub rama pochodzi z pojazdu zarejestrowanego na terytorium RP.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zmiany innych danych pojazdu zamieszczonych w dowozie rejestracyjnym zaistniałej w wyniku wprowadzenia zmian konstrukcyjnych lub wymiany elementów, dodatkowo należy dostarczyć zaświadczenie o pozytywnym wyniku badania technicznego potwierdzające, że dokonane zmiany są zgodne z przepisami określającymi warunki techniczne pojazdów,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pojazdu będącego przedmiotem współwłasności, wniosek może złożyć każdy ze współwłaścicieli, przedkładając pełnomocnictwo,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załączyć stosowne pełnomocnictwo wraz z opłatą skarbową (17 zł). Zwolnione z opłaty skarbowej są pełnomocnictwa udzielane małżonkowi, wstępnemu, zstępnemu lub rodzeństwu oraz jeżeli mocodawcą jest podmiot określony w art. 7 pkt 1-5 ustawy o opłacie skarbowej,</w:t>
      </w:r>
    </w:p>
    <w:p w:rsidR="00DC7DCE" w:rsidRPr="00DC7DCE" w:rsidRDefault="00DC7DCE" w:rsidP="00DC7DC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uiszczenia opłaty za wydanie dowodu rejestracyjnego oraz opłaty ewidencyjnej za wydanie dowodu rejestracyjnego.</w:t>
      </w:r>
    </w:p>
    <w:p w:rsidR="00DC7DCE" w:rsidRPr="00DC7DCE" w:rsidRDefault="00DC7DCE" w:rsidP="00DC7D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Uwaga !</w:t>
      </w:r>
    </w:p>
    <w:p w:rsidR="00DC7DCE" w:rsidRPr="00DC7DCE" w:rsidRDefault="00DC7DCE" w:rsidP="00DC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zmiany adresu miejsca zamieszkania właściciela pojazdu, powodującej zmianę właściwości miejscowej organu rejestrującego, organ rejestrujący na wniosek właściciela dokonuje rejestracji pojazdu. Wymagane dokumenty i opłaty ujęte są w opisie usługi "Rejestracja pojazdu zare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jestrowanego na terytorium RP".</w:t>
      </w:r>
    </w:p>
    <w:p w:rsidR="00DC7DCE" w:rsidRPr="00DC7DCE" w:rsidRDefault="00DC7DCE" w:rsidP="00DC7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DC7DCE" w:rsidRPr="00DC7DCE" w:rsidRDefault="00DC7DCE" w:rsidP="00DC7DC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Niezwłocznie po złożeniu przez właściciela zawiadomienia o zmianie stanu faktycznego wraz z wymaganymi dokumentami organ rejestrujący dokonuje w dotychczasowym dowodzie rejestracyjnym stosownej adnotacji i zwraca właścicielowi dowód rejestracyjny do czasu wydania nowego dowodu rejestracyjnego.</w:t>
      </w:r>
    </w:p>
    <w:p w:rsidR="00DC7DCE" w:rsidRPr="00DC7DCE" w:rsidRDefault="00DC7DCE" w:rsidP="00DC7DC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Nowy dowód rejestracyjny można odebrać przed upływem 30 dni.</w:t>
      </w:r>
    </w:p>
    <w:p w:rsidR="00DC7DCE" w:rsidRPr="00DC7DCE" w:rsidRDefault="00DC7DCE" w:rsidP="00DC7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DC7DCE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Wymiana dowodu rejestracyjnego pojazdu nr VIN: ......</w:t>
      </w:r>
      <w:r w:rsidRPr="00DC7DCE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br/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Kwota: </w:t>
      </w:r>
      <w:r w:rsidRPr="00DC7DCE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54,50 zł </w:t>
      </w: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(wliczona opłata ewidencyjna 0,50zł)</w:t>
      </w:r>
      <w:r w:rsidRPr="00DC7DCE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br/>
      </w: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Opłaty dokonać można za pomocą przelewu bankowego na rachunek Urzędu numer:</w:t>
      </w:r>
      <w:r w:rsidRPr="00FB3E12">
        <w:rPr>
          <w:rFonts w:ascii="Times New Roman" w:hAnsi="Times New Roman"/>
          <w:sz w:val="18"/>
          <w:szCs w:val="18"/>
        </w:rPr>
        <w:t xml:space="preserve"> </w:t>
      </w:r>
      <w:r w:rsidRPr="00FB3E12">
        <w:rPr>
          <w:rFonts w:ascii="Times New Roman" w:eastAsia="Times New Roman" w:hAnsi="Times New Roman"/>
          <w:b/>
          <w:color w:val="434343"/>
          <w:sz w:val="18"/>
          <w:szCs w:val="18"/>
          <w:lang w:eastAsia="pl-PL"/>
        </w:rPr>
        <w:t>90 8774 0000 0016 1655 2000 0010,</w:t>
      </w:r>
    </w:p>
    <w:p w:rsidR="00DC7DCE" w:rsidRPr="00FB3E12" w:rsidRDefault="00DC7DCE" w:rsidP="00DC7DC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Opłata skarbowa za pełnomocnictwo</w:t>
      </w: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 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17 zł</w:t>
      </w: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 (od każdego stosunku pełnomocnictwa)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 xml:space="preserve">. </w:t>
      </w:r>
    </w:p>
    <w:p w:rsidR="00DC7DCE" w:rsidRPr="00FB3E12" w:rsidRDefault="00DC7DCE" w:rsidP="00DC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lastRenderedPageBreak/>
        <w:t>Opłaty skarbowej dokonać można za pomocą przelewu bankowego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 </w:t>
      </w:r>
      <w:r w:rsidRPr="00FB3E12">
        <w:rPr>
          <w:rFonts w:ascii="Times New Roman" w:eastAsia="Times New Roman" w:hAnsi="Times New Roman"/>
          <w:bCs/>
          <w:color w:val="434343"/>
          <w:sz w:val="18"/>
          <w:szCs w:val="18"/>
          <w:lang w:eastAsia="pl-PL"/>
        </w:rPr>
        <w:t>na konto Urzędu Miejskiego w Wysokiem Mazowieckiem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: 27 1020 1332 0000 110 200 37 55 35,</w:t>
      </w:r>
    </w:p>
    <w:p w:rsidR="00DC7DCE" w:rsidRPr="00FB3E12" w:rsidRDefault="00DC7DCE" w:rsidP="00DC7DC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Dokonanie płatności jest możliwe 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, przy którym sprawa jest załatwiana. </w:t>
      </w:r>
    </w:p>
    <w:p w:rsidR="00DC7DCE" w:rsidRPr="00DC7DCE" w:rsidRDefault="00DC7DCE" w:rsidP="00DC7D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7DCE" w:rsidRPr="00FB3E12" w:rsidRDefault="00DC7DCE" w:rsidP="00DC7D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FB3E12">
        <w:rPr>
          <w:rFonts w:ascii="Times New Roman" w:eastAsia="Times New Roman" w:hAnsi="Times New Roman"/>
          <w:b/>
          <w:bCs/>
          <w:color w:val="000000"/>
          <w:lang w:eastAsia="pl-PL"/>
        </w:rPr>
        <w:t>Miejsce załatwienia sprawy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Wydział Komunikacji i Dróg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ul. Ludowa 15A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18-200 Wysokie Mazowieckie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</w:p>
    <w:p w:rsidR="00DC7DCE" w:rsidRPr="00FB3E12" w:rsidRDefault="00DC7DCE" w:rsidP="00DC7D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FB3E12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DC7DCE" w:rsidRPr="00FB3E12" w:rsidRDefault="00DC7DCE" w:rsidP="00DC7D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FB3E12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tel.: </w:t>
      </w:r>
      <w:r w:rsidRPr="00FB3E12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86 477 02 00, 86 275 24 17, wew. 36, 52</w:t>
      </w:r>
    </w:p>
    <w:p w:rsidR="00DC7DCE" w:rsidRPr="00FB3E12" w:rsidRDefault="00DC7DCE" w:rsidP="00DC7DC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Tryb odwoławczy</w:t>
      </w:r>
    </w:p>
    <w:p w:rsidR="00DC7DCE" w:rsidRPr="00DC7DCE" w:rsidRDefault="00DC7DCE" w:rsidP="00DC7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Od decyzji odmawiającej wydania dowodu rejestracyjnego po zawiadomieniu o zmianie stanu faktycznego wymagającego zmiany w dowodzie rejestracyjnym przysługuje stronie prawo wniesienia odwołania do Samorządowego Kolegium Odwoławczego.</w:t>
      </w:r>
    </w:p>
    <w:p w:rsidR="00DC7DCE" w:rsidRPr="00DC7DCE" w:rsidRDefault="00DC7DCE" w:rsidP="00DC7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DCE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6" style="width:0;height:0" o:hralign="center" o:hrstd="t" o:hrnoshade="t" o:hr="t" fillcolor="#434343" stroked="f"/>
        </w:pict>
      </w:r>
    </w:p>
    <w:p w:rsidR="00DC7DCE" w:rsidRPr="00DC7DCE" w:rsidRDefault="00DC7DCE" w:rsidP="00DC7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DC7DCE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DC7DCE" w:rsidRPr="00DC7DCE" w:rsidRDefault="00DC7DCE" w:rsidP="00DC7DC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DC7DCE" w:rsidRPr="00DC7DCE" w:rsidRDefault="00DC7DCE" w:rsidP="00DC7DC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oznaczania pojazdów oraz wymagań dla tablic rejestracyjnych (Dz. U. z 2017 r. poz. 2355 z </w:t>
      </w:r>
      <w:proofErr w:type="spellStart"/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DC7DCE" w:rsidRPr="00DC7DCE" w:rsidRDefault="00DC7DCE" w:rsidP="00DC7DC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bookmarkStart w:id="0" w:name="_GoBack"/>
      <w:bookmarkEnd w:id="0"/>
      <w:proofErr w:type="spellEnd"/>
      <w:r w:rsidRPr="00DC7DCE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152D05" w:rsidRDefault="00A049A0" w:rsidP="00DC7DCE">
      <w:pPr>
        <w:spacing w:after="0" w:line="240" w:lineRule="auto"/>
        <w:ind w:left="360"/>
        <w:rPr>
          <w:rFonts w:ascii="Times New Roman" w:hAnsi="Times New Roman"/>
          <w:color w:val="0D0D0D" w:themeColor="text1" w:themeTint="F2"/>
        </w:rPr>
      </w:pPr>
    </w:p>
    <w:sectPr w:rsidR="00A049A0" w:rsidRPr="00152D05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4A" w:rsidRDefault="00086D4A" w:rsidP="007F1A77">
      <w:pPr>
        <w:spacing w:after="0" w:line="240" w:lineRule="auto"/>
      </w:pPr>
      <w:r>
        <w:separator/>
      </w:r>
    </w:p>
  </w:endnote>
  <w:endnote w:type="continuationSeparator" w:id="0">
    <w:p w:rsidR="00086D4A" w:rsidRDefault="00086D4A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4A" w:rsidRDefault="00086D4A" w:rsidP="007F1A77">
      <w:pPr>
        <w:spacing w:after="0" w:line="240" w:lineRule="auto"/>
      </w:pPr>
      <w:r>
        <w:separator/>
      </w:r>
    </w:p>
  </w:footnote>
  <w:footnote w:type="continuationSeparator" w:id="0">
    <w:p w:rsidR="00086D4A" w:rsidRDefault="00086D4A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B94AE6" w:rsidRDefault="00D144F2" w:rsidP="00496DBF">
          <w:pPr>
            <w:pStyle w:val="Nagwek"/>
            <w:jc w:val="center"/>
            <w:rPr>
              <w:rFonts w:ascii="Cambria" w:hAnsi="Cambria"/>
              <w:b/>
              <w:sz w:val="28"/>
              <w:szCs w:val="28"/>
            </w:rPr>
          </w:pPr>
          <w:r w:rsidRPr="00D144F2"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 xml:space="preserve"> Zawiadomienie o zmianie stanu faktycznego wymagającej zmiany danych zamieszczonych w DR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1D460D6"/>
    <w:multiLevelType w:val="multilevel"/>
    <w:tmpl w:val="62AA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40FD7"/>
    <w:multiLevelType w:val="multilevel"/>
    <w:tmpl w:val="38F4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2BF4F80"/>
    <w:multiLevelType w:val="multilevel"/>
    <w:tmpl w:val="359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B66A8"/>
    <w:multiLevelType w:val="multilevel"/>
    <w:tmpl w:val="196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836E8"/>
    <w:multiLevelType w:val="multilevel"/>
    <w:tmpl w:val="3C7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65A0C"/>
    <w:multiLevelType w:val="multilevel"/>
    <w:tmpl w:val="870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0C8C"/>
    <w:multiLevelType w:val="multilevel"/>
    <w:tmpl w:val="182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226B5"/>
    <w:multiLevelType w:val="multilevel"/>
    <w:tmpl w:val="292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0947"/>
    <w:multiLevelType w:val="multilevel"/>
    <w:tmpl w:val="273E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03DEE"/>
    <w:multiLevelType w:val="multilevel"/>
    <w:tmpl w:val="274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03BA8"/>
    <w:multiLevelType w:val="multilevel"/>
    <w:tmpl w:val="CD8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4DA7"/>
    <w:multiLevelType w:val="multilevel"/>
    <w:tmpl w:val="A5FA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EF06E92"/>
    <w:multiLevelType w:val="multilevel"/>
    <w:tmpl w:val="584A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D04AB"/>
    <w:multiLevelType w:val="multilevel"/>
    <w:tmpl w:val="8032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13FFA"/>
    <w:multiLevelType w:val="multilevel"/>
    <w:tmpl w:val="1DB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DE"/>
    <w:multiLevelType w:val="multilevel"/>
    <w:tmpl w:val="9C00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4"/>
  </w:num>
  <w:num w:numId="5">
    <w:abstractNumId w:val="25"/>
  </w:num>
  <w:num w:numId="6">
    <w:abstractNumId w:val="22"/>
  </w:num>
  <w:num w:numId="7">
    <w:abstractNumId w:val="5"/>
  </w:num>
  <w:num w:numId="8">
    <w:abstractNumId w:val="27"/>
  </w:num>
  <w:num w:numId="9">
    <w:abstractNumId w:val="26"/>
  </w:num>
  <w:num w:numId="10">
    <w:abstractNumId w:val="3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"/>
  </w:num>
  <w:num w:numId="19">
    <w:abstractNumId w:val="6"/>
  </w:num>
  <w:num w:numId="20">
    <w:abstractNumId w:val="4"/>
  </w:num>
  <w:num w:numId="21">
    <w:abstractNumId w:val="11"/>
  </w:num>
  <w:num w:numId="22">
    <w:abstractNumId w:val="14"/>
  </w:num>
  <w:num w:numId="23">
    <w:abstractNumId w:val="21"/>
  </w:num>
  <w:num w:numId="24">
    <w:abstractNumId w:val="16"/>
  </w:num>
  <w:num w:numId="25">
    <w:abstractNumId w:val="18"/>
  </w:num>
  <w:num w:numId="26">
    <w:abstractNumId w:val="17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36956"/>
    <w:rsid w:val="00074848"/>
    <w:rsid w:val="00086D4A"/>
    <w:rsid w:val="000B05F7"/>
    <w:rsid w:val="000F6D2F"/>
    <w:rsid w:val="0010088E"/>
    <w:rsid w:val="0010285A"/>
    <w:rsid w:val="00110FA9"/>
    <w:rsid w:val="00114028"/>
    <w:rsid w:val="00152D05"/>
    <w:rsid w:val="001A48EE"/>
    <w:rsid w:val="001F0BE2"/>
    <w:rsid w:val="00202EE4"/>
    <w:rsid w:val="00252DAB"/>
    <w:rsid w:val="00282054"/>
    <w:rsid w:val="00296BA1"/>
    <w:rsid w:val="002B3399"/>
    <w:rsid w:val="0039623B"/>
    <w:rsid w:val="003A2982"/>
    <w:rsid w:val="003A4A20"/>
    <w:rsid w:val="00407A83"/>
    <w:rsid w:val="00430A9C"/>
    <w:rsid w:val="00471492"/>
    <w:rsid w:val="00496DBF"/>
    <w:rsid w:val="004C42F7"/>
    <w:rsid w:val="004F4582"/>
    <w:rsid w:val="00535753"/>
    <w:rsid w:val="005463CD"/>
    <w:rsid w:val="00554824"/>
    <w:rsid w:val="005562CD"/>
    <w:rsid w:val="005857DE"/>
    <w:rsid w:val="00612F37"/>
    <w:rsid w:val="006141CA"/>
    <w:rsid w:val="00663D4B"/>
    <w:rsid w:val="006A4A7D"/>
    <w:rsid w:val="00715595"/>
    <w:rsid w:val="0079243F"/>
    <w:rsid w:val="007C5B36"/>
    <w:rsid w:val="007C6A7E"/>
    <w:rsid w:val="007F1A77"/>
    <w:rsid w:val="00833B88"/>
    <w:rsid w:val="0084438C"/>
    <w:rsid w:val="00846DFD"/>
    <w:rsid w:val="00904032"/>
    <w:rsid w:val="0096018D"/>
    <w:rsid w:val="00965298"/>
    <w:rsid w:val="009B2E4F"/>
    <w:rsid w:val="009E0400"/>
    <w:rsid w:val="009F59DC"/>
    <w:rsid w:val="009F6DF8"/>
    <w:rsid w:val="00A049A0"/>
    <w:rsid w:val="00A35D7D"/>
    <w:rsid w:val="00A7420C"/>
    <w:rsid w:val="00AA6DCF"/>
    <w:rsid w:val="00AC1633"/>
    <w:rsid w:val="00B94AE6"/>
    <w:rsid w:val="00B975E2"/>
    <w:rsid w:val="00BB2A8D"/>
    <w:rsid w:val="00BF3E94"/>
    <w:rsid w:val="00C23A37"/>
    <w:rsid w:val="00C7158D"/>
    <w:rsid w:val="00D01EA0"/>
    <w:rsid w:val="00D144F2"/>
    <w:rsid w:val="00D259C5"/>
    <w:rsid w:val="00DC7DCE"/>
    <w:rsid w:val="00DD047C"/>
    <w:rsid w:val="00DF5B9C"/>
    <w:rsid w:val="00DF7383"/>
    <w:rsid w:val="00E4214C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52522-0776-4865-A8F6-0AA22BC9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9</cp:revision>
  <cp:lastPrinted>2013-02-19T06:04:00Z</cp:lastPrinted>
  <dcterms:created xsi:type="dcterms:W3CDTF">2015-04-20T11:44:00Z</dcterms:created>
  <dcterms:modified xsi:type="dcterms:W3CDTF">2022-04-13T08:55:00Z</dcterms:modified>
</cp:coreProperties>
</file>